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Tutti i settori - Attivita' trasversale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Tutti gli uffici - Attivita' trasversale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Accesso civico generalizzato concernente dati e documenti ulteriori a quelli soggetti a pubblicazione obbligatoria ai sensi del D.Lgs. 33/2013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nell'accesso civico "generalizzato" concernente dati e documenti ulteriori a quelli soggetti a pubblicazione obbligatoria ai sensi del D.Lgs.33/2013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D.Lgs. n. 82/2005 - L. 190/2012 - DPR n. 62/2013 - Statuto - Regolamento sul procedimento amministrativo - L. 241/1990 - D.P.R. 184/2006 - D.Lgs. 33/2013 - Linee guida ANAC - Regolamento sull'esercizio del diritto d'accesso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TUTTE LE AREE - ATTIVITA' TRASVERSALE SETTORE/UNITA' ORGANIZZATIVA Tutti i settori - Attivita' trasversale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Tutti gli uffici - Attivita' trasversale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Posizione Organizzativa individuato in base agli atti di organizzazione, competente per materia a gestire l'attivita'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Tutti gli uffici - Attivita' trasversale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al TAR entro 30 giorni dal diniego o dal non accoglimento dell'istanza di riesame al RPCT oppure ricorso al Garante della Regione, laddove istituito, ai sensi degli art. 116 D.lgs 104/2010 e art. 5 del D.Lgs 33/2013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